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EEC8" w14:textId="1B102BA3" w:rsidR="00C43065" w:rsidRPr="00C43065" w:rsidRDefault="00C43065" w:rsidP="00C4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C43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 KAR 36:045. Distance counseling.</w:t>
      </w:r>
    </w:p>
    <w:bookmarkEnd w:id="0"/>
    <w:p w14:paraId="601931DE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RELATES TO: KRS 335.505, 335.515(1), (3), (11)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STATUTORY AUTHORITY: KRS 335.515(3), (11)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NECESSITY, FUNCTION, AND CONFORMITY: KRS 335.515(3) requires the board to</w:t>
      </w:r>
    </w:p>
    <w:p w14:paraId="419AE8DD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promulgate administrative regulations necessary to carry out and enforce the provisions of KRS 335.500 to 335.599. This administrative regulation establishes procedures for preventing abuse and fraud </w:t>
      </w:r>
      <w:proofErr w:type="gram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through the use of</w:t>
      </w:r>
      <w:proofErr w:type="gram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distance counseling, prevents fee-splitting through the use of distance counseling, and utilizes distance counseling in the provision of professional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coun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seling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services and in the provision of continuing education.</w:t>
      </w:r>
    </w:p>
    <w:p w14:paraId="6EE4509B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Section 1. Client Requirements. A licensee using distance counseling to deliver counseling services or who practices distance counseling shall, upon initial contact with the client:</w:t>
      </w:r>
    </w:p>
    <w:p w14:paraId="47F540D8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(1) Make attempts to verify the identity of the client;</w:t>
      </w:r>
    </w:p>
    <w:p w14:paraId="26C58619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(2) Obtain alternative means of contacting the client other than electronically such as </w:t>
      </w:r>
      <w:proofErr w:type="gram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by the use of</w:t>
      </w:r>
      <w:proofErr w:type="gram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a telephone number or mailing address;</w:t>
      </w:r>
    </w:p>
    <w:p w14:paraId="02B62894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(3) Provide to the client alternative means of contacting the licensee other than electronical-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ly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such as </w:t>
      </w:r>
      <w:proofErr w:type="gram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by the use of</w:t>
      </w:r>
      <w:proofErr w:type="gram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a telephone number or mailing address;</w:t>
      </w:r>
    </w:p>
    <w:p w14:paraId="213F71C9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(4) Provide contact methods of alternative communication the licensee shall use for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emer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gency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purposes such as an emergency on call telephone number; and</w:t>
      </w:r>
    </w:p>
    <w:p w14:paraId="19FCF275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(5) Document if the client has the necessary knowledge and skills to benefit from the type of distance counseling provided by the licensee;</w:t>
      </w:r>
    </w:p>
    <w:p w14:paraId="17EE3318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(6) Document which services were provided by distance counseling;</w:t>
      </w:r>
    </w:p>
    <w:p w14:paraId="282AE93A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(7) Use secure communications with clients, including encrypted text messages via e-mail or secure Web sites, and not use personal identifying information in non-secure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communica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tions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>; and</w:t>
      </w:r>
    </w:p>
    <w:p w14:paraId="114210D1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(8) Inform the client in writing about: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(a) The limitations of using technology in the provision of distance counseling;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(b) Potential risks to confidentiality of information due to technology in the provision of dis-</w:t>
      </w:r>
    </w:p>
    <w:p w14:paraId="2E8BE4FD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tance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counseling;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(c) Potential risks of disruption in the use of distance counseling;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(d) When and how the licensee will respond to routine electronic messages;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(e) In what circumstances the licensee will use alternative communications for emergency</w:t>
      </w:r>
    </w:p>
    <w:p w14:paraId="47DC8731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purposes;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(f) Who else may have access to client communications with the licensee;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(g) How communications can be directed to a specific licensee;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(h) How the licensee stores electronic communications from the client;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lastRenderedPageBreak/>
        <w:t>(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i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>) Whether the licensee or client may elect to discontinue the provision of services through</w:t>
      </w:r>
    </w:p>
    <w:p w14:paraId="723B2F00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distance counseling; and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(j) The reporting of clients required by 201 KAR 36:040, Sections 2 and 3.</w:t>
      </w:r>
    </w:p>
    <w:p w14:paraId="638708C9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Section 2. Competence, Limits on Practice, Maintenance, and Retention of Records. A li-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censee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using distance counseling to deliver counseling services or who practices distance counseling shall:</w:t>
      </w:r>
    </w:p>
    <w:p w14:paraId="4E68F58A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(1) Limit the practice of distance counseling to the area of competence in which proficiency has been gained through education, training, and experience;</w:t>
      </w:r>
    </w:p>
    <w:p w14:paraId="2BA085E7" w14:textId="77777777" w:rsidR="00C43065" w:rsidRPr="00C43065" w:rsidRDefault="00C43065" w:rsidP="00C4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(2) Maintain current competency in the practice of distance counseling through continuing education, consultation, or other procedures, in conformance with current standards of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scien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>-</w:t>
      </w:r>
    </w:p>
    <w:p w14:paraId="483DAF6E" w14:textId="77777777" w:rsidR="00C43065" w:rsidRPr="00C43065" w:rsidRDefault="00C43065" w:rsidP="00C4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" w:eastAsia="Times New Roman" w:hAnsi="Arial" w:cs="Arial"/>
          <w:b/>
          <w:bCs/>
          <w:color w:val="000000"/>
          <w:sz w:val="16"/>
          <w:szCs w:val="16"/>
        </w:rPr>
        <w:t>Legislative Research Commission PDF Version </w:t>
      </w:r>
      <w:r w:rsidRPr="00C43065">
        <w:rPr>
          <w:rFonts w:ascii="Arial" w:eastAsia="Times New Roman" w:hAnsi="Arial" w:cs="Arial"/>
          <w:b/>
          <w:bCs/>
          <w:color w:val="000000"/>
          <w:position w:val="2"/>
          <w:sz w:val="14"/>
          <w:szCs w:val="14"/>
        </w:rPr>
        <w:t>Page: 1</w:t>
      </w:r>
    </w:p>
    <w:p w14:paraId="017FF7DD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tific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and professional knowledge;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(3) Document the client's presenting problem, purpose, or diagnosis;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(4) Maintain records in accordance with the requirements of 201 KAR 36:040; and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(5) Ensure that confidential communications obtained and stored electronically cannot be</w:t>
      </w:r>
    </w:p>
    <w:p w14:paraId="25549827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recovered and accessed by unauthorized persons when the licensee disposes of electronic equipment and data.</w:t>
      </w:r>
    </w:p>
    <w:p w14:paraId="395DD2DB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Section 3. Compliance with Federal, State, and Local Law. A licensee using distance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coun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seling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to deliver counseling services or who practices distance counseling shall:</w:t>
      </w:r>
    </w:p>
    <w:p w14:paraId="5F6EF3DC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(1) Comply with the state law where the licensee initiates the distance counseling;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(2) Be licensed to practice counseling where the client is domiciled; and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(3) Comply with Section 508 of the Rehabilitation Act, 29 U.S.C. 794(d), to make technology</w:t>
      </w:r>
    </w:p>
    <w:p w14:paraId="3E8E2E6A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accessible to a client with disabilities.</w:t>
      </w:r>
    </w:p>
    <w:p w14:paraId="6F977D22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Section 4. Representation of Services and Code of Conduct. A licensee using distance counseling to deliver counseling services or who practices distance counseling shall:</w:t>
      </w:r>
    </w:p>
    <w:p w14:paraId="21A87F62" w14:textId="77777777" w:rsidR="00C43065" w:rsidRPr="00C43065" w:rsidRDefault="00C43065" w:rsidP="00C43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>(1) Not engage in false, misleading, or deceptive advertising of distance counseling; (2) Comply with 201 KAR 36:040; and</w:t>
      </w:r>
      <w:r w:rsidRPr="00C43065">
        <w:rPr>
          <w:rFonts w:ascii="ArialMT" w:eastAsia="Times New Roman" w:hAnsi="ArialMT" w:cs="Arial"/>
          <w:color w:val="000000"/>
          <w:sz w:val="24"/>
          <w:szCs w:val="24"/>
        </w:rPr>
        <w:br/>
        <w:t>(3) Not split fees.</w:t>
      </w:r>
    </w:p>
    <w:p w14:paraId="582B9A28" w14:textId="77777777" w:rsidR="00C43065" w:rsidRPr="00C43065" w:rsidRDefault="00C43065" w:rsidP="00C4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Section 5. Utilization of Distance Counseling in the Provision of Continuing Education. Pro- 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viders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 xml:space="preserve"> approved pursuant to 201 KAR 36:030 may utilize distance counseling in the provision of continuing education courses. (</w:t>
      </w:r>
      <w:proofErr w:type="spellStart"/>
      <w:r w:rsidRPr="00C43065">
        <w:rPr>
          <w:rFonts w:ascii="ArialMT" w:eastAsia="Times New Roman" w:hAnsi="ArialMT" w:cs="Arial"/>
          <w:color w:val="000000"/>
          <w:sz w:val="24"/>
          <w:szCs w:val="24"/>
        </w:rPr>
        <w:t>Ky.R</w:t>
      </w:r>
      <w:proofErr w:type="spellEnd"/>
      <w:r w:rsidRPr="00C43065">
        <w:rPr>
          <w:rFonts w:ascii="ArialMT" w:eastAsia="Times New Roman" w:hAnsi="ArialMT" w:cs="Arial"/>
          <w:color w:val="000000"/>
          <w:sz w:val="24"/>
          <w:szCs w:val="24"/>
        </w:rPr>
        <w:t>. 837, 1540; eff. 3-31-2017.)</w:t>
      </w:r>
    </w:p>
    <w:p w14:paraId="64C74E76" w14:textId="6BE3BE80" w:rsidR="000B5ABB" w:rsidRPr="00C43065" w:rsidRDefault="00C43065" w:rsidP="00C43065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43065">
        <w:rPr>
          <w:rFonts w:ascii="Arial" w:eastAsia="Times New Roman" w:hAnsi="Arial" w:cs="Arial"/>
          <w:b/>
          <w:bCs/>
          <w:color w:val="000000"/>
          <w:sz w:val="16"/>
          <w:szCs w:val="16"/>
        </w:rPr>
        <w:t>Legislative Research Commission PDF Version </w:t>
      </w:r>
      <w:r w:rsidRPr="00C43065">
        <w:rPr>
          <w:rFonts w:ascii="Arial" w:eastAsia="Times New Roman" w:hAnsi="Arial" w:cs="Arial"/>
          <w:b/>
          <w:bCs/>
          <w:color w:val="000000"/>
          <w:position w:val="2"/>
          <w:sz w:val="14"/>
          <w:szCs w:val="14"/>
        </w:rPr>
        <w:t>Page: 2 </w:t>
      </w:r>
    </w:p>
    <w:sectPr w:rsidR="000B5ABB" w:rsidRPr="00C4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5"/>
    <w:rsid w:val="000D629D"/>
    <w:rsid w:val="001A4FD9"/>
    <w:rsid w:val="00C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2AAD"/>
  <w15:chartTrackingRefBased/>
  <w15:docId w15:val="{233D6C4F-E828-4F47-B955-451A42F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8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1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074962">
          <w:marLeft w:val="0"/>
          <w:marRight w:val="0"/>
          <w:marTop w:val="375"/>
          <w:marBottom w:val="45"/>
          <w:divBdr>
            <w:top w:val="none" w:sz="0" w:space="8" w:color="DDDDDD"/>
            <w:left w:val="none" w:sz="0" w:space="8" w:color="DDDDDD"/>
            <w:bottom w:val="none" w:sz="0" w:space="8" w:color="DDDDDD"/>
            <w:right w:val="none" w:sz="0" w:space="8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2019-07-01T17:46:00Z</dcterms:created>
  <dcterms:modified xsi:type="dcterms:W3CDTF">2019-07-01T17:47:00Z</dcterms:modified>
</cp:coreProperties>
</file>