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36"/>
          <w:shd w:fill="auto" w:val="clear"/>
        </w:rPr>
      </w:pPr>
    </w:p>
    <w:p>
      <w:pPr>
        <w:spacing w:before="0" w:after="0" w:line="240"/>
        <w:ind w:right="0" w:left="0" w:firstLine="0"/>
        <w:jc w:val="left"/>
        <w:rPr>
          <w:rFonts w:ascii="Calibri" w:hAnsi="Calibri" w:cs="Calibri" w:eastAsia="Calibri"/>
          <w:b/>
          <w:color w:val="auto"/>
          <w:spacing w:val="0"/>
          <w:position w:val="0"/>
          <w:sz w:val="36"/>
          <w:shd w:fill="auto" w:val="clear"/>
        </w:rPr>
      </w:pPr>
    </w:p>
    <w:p>
      <w:pPr>
        <w:spacing w:before="0" w:after="0" w:line="240"/>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Screening for Infectious Disease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response to the immediate COVID-19 pandemic,  employees and service providers shall self monitor for fever and respiratory symptoms prior to any contact with clients.  Self monitoring means taking their temperature and remaining alert for respiratory symptoms such as a cough, shortness of breath, and or sore throat.  If the employee or service provider should have a fever of over 100.00 or respiratory symptoms, they should remain home and self isolate (separate themselves from others) and contact the agency supervisor,  their individual healthcare provider, and local and state authorities.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best screening results, service providers shall educate clients on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symptoms and prevention protocol provided by the Center for Disease Control (CDC).</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Providers shall screen all members of a household prior to a home visit and may repeat the screening during the session with each person present in the session.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Screening Form for Infectious Disease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answer the following questions: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have any signs and symptoms of respiratory infection, such as a *fever, cough, shortness of breath or sore throat?     YES NO</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14 days have you had contact with someone with a confirmed diagnosis of COVID-19 or someone under investigation for COVID-19 or with someone ill with respiratory illness.  YES NO</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traveled internationally within the last 14 days to countries with sustained community transmission (level 1-3) which include China, Italy, Iran, South Korea, Hong Kong, or Japan?   YES NO</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living in a community where community based spread of COVID-19 is occurring?   YES NO</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taken a recent trip (within the last 14 days) on a cruise ship or participated in other setting where crowds are confined to a common location?  YES 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answer yes to any of the questions, Transformations asks you to refrain from participating in face to face sessions.  *The generally accepted definition of a fever is a temperature above 100.00.  Talk to your provider about the availability of Telehealth services.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dc.gov/coronavirus/2019-ncov/symptoms-testing/symptoms.html?CDC_AA_refVal=https%3A%2F%2Fwww.cdc.gov%2Fcoronavirus%2F2019-ncov%2Fabout%2Fsymptoms.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